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F408" w14:textId="77777777" w:rsidR="00EC2394" w:rsidRPr="00EC2394" w:rsidRDefault="00EC2394" w:rsidP="00EC2394">
      <w:pPr>
        <w:spacing w:after="0" w:line="360" w:lineRule="auto"/>
        <w:jc w:val="both"/>
        <w:outlineLvl w:val="0"/>
        <w:rPr>
          <w:rFonts w:ascii="Times New Roman" w:eastAsia="Times New Roman" w:hAnsi="Times New Roman" w:cs="Times New Roman"/>
          <w:b/>
          <w:bCs/>
          <w:color w:val="1F1F1F"/>
          <w:kern w:val="36"/>
          <w:sz w:val="32"/>
          <w:szCs w:val="32"/>
          <w:lang w:eastAsia="pt-BR"/>
          <w14:ligatures w14:val="none"/>
        </w:rPr>
      </w:pPr>
      <w:r w:rsidRPr="00EC2394">
        <w:rPr>
          <w:rFonts w:ascii="Times New Roman" w:eastAsia="Times New Roman" w:hAnsi="Times New Roman" w:cs="Times New Roman"/>
          <w:b/>
          <w:bCs/>
          <w:color w:val="1F1F1F"/>
          <w:kern w:val="36"/>
          <w:sz w:val="32"/>
          <w:szCs w:val="32"/>
          <w:bdr w:val="none" w:sz="0" w:space="0" w:color="auto" w:frame="1"/>
          <w:lang w:eastAsia="pt-BR"/>
          <w14:ligatures w14:val="none"/>
        </w:rPr>
        <w:t>TÓPICO 2: NORMAS, MODELOS E FERRAMENTAS – A ESTRUTURAÇÃO DO PENSAMENTO E DA PRÁTICA DA QUALIDADE</w:t>
      </w:r>
    </w:p>
    <w:p w14:paraId="0464A237"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b/>
          <w:bCs/>
          <w:color w:val="1F1F1F"/>
          <w:kern w:val="0"/>
          <w:bdr w:val="none" w:sz="0" w:space="0" w:color="auto" w:frame="1"/>
          <w:lang w:eastAsia="pt-BR"/>
          <w14:ligatures w14:val="none"/>
        </w:rPr>
        <w:t>Prof. Dr. Robson Costa</w:t>
      </w:r>
    </w:p>
    <w:p w14:paraId="23AFBA26" w14:textId="77777777" w:rsidR="00EC2394" w:rsidRPr="00EC2394" w:rsidRDefault="00EC2394" w:rsidP="00EC2394">
      <w:pPr>
        <w:spacing w:after="0" w:line="360" w:lineRule="auto"/>
        <w:jc w:val="both"/>
        <w:outlineLvl w:val="1"/>
        <w:rPr>
          <w:rFonts w:ascii="Times New Roman" w:eastAsia="Times New Roman" w:hAnsi="Times New Roman" w:cs="Times New Roman"/>
          <w:b/>
          <w:bCs/>
          <w:color w:val="1F1F1F"/>
          <w:kern w:val="0"/>
          <w:lang w:eastAsia="pt-BR"/>
          <w14:ligatures w14:val="none"/>
        </w:rPr>
      </w:pPr>
      <w:r w:rsidRPr="00EC2394">
        <w:rPr>
          <w:rFonts w:ascii="Times New Roman" w:eastAsia="Times New Roman" w:hAnsi="Times New Roman" w:cs="Times New Roman"/>
          <w:b/>
          <w:bCs/>
          <w:color w:val="1F1F1F"/>
          <w:kern w:val="0"/>
          <w:bdr w:val="none" w:sz="0" w:space="0" w:color="auto" w:frame="1"/>
          <w:lang w:eastAsia="pt-BR"/>
          <w14:ligatures w14:val="none"/>
        </w:rPr>
        <w:t>1. Introdução: A Qualidade como Disciplina Estruturada</w:t>
      </w:r>
    </w:p>
    <w:p w14:paraId="2785170D"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 xml:space="preserve">A transição da Gestão da Qualidade de um conjunto de princípios filosóficos para uma disciplina de gestão rigorosa e </w:t>
      </w:r>
      <w:proofErr w:type="spellStart"/>
      <w:r w:rsidRPr="00EC2394">
        <w:rPr>
          <w:rFonts w:ascii="Times New Roman" w:eastAsia="Times New Roman" w:hAnsi="Times New Roman" w:cs="Times New Roman"/>
          <w:color w:val="1F1F1F"/>
          <w:kern w:val="0"/>
          <w:bdr w:val="none" w:sz="0" w:space="0" w:color="auto" w:frame="1"/>
          <w:lang w:eastAsia="pt-BR"/>
          <w14:ligatures w14:val="none"/>
        </w:rPr>
        <w:t>operacionalizável</w:t>
      </w:r>
      <w:proofErr w:type="spellEnd"/>
      <w:r w:rsidRPr="00EC2394">
        <w:rPr>
          <w:rFonts w:ascii="Times New Roman" w:eastAsia="Times New Roman" w:hAnsi="Times New Roman" w:cs="Times New Roman"/>
          <w:color w:val="1F1F1F"/>
          <w:kern w:val="0"/>
          <w:bdr w:val="none" w:sz="0" w:space="0" w:color="auto" w:frame="1"/>
          <w:lang w:eastAsia="pt-BR"/>
          <w14:ligatures w14:val="none"/>
        </w:rPr>
        <w:t xml:space="preserve"> constitui um dos marcos fundamentais da teoria das organizações no século XX. Esta consolidação não resultou apenas de uma evolução técnica, mas de uma necessidade premente de transformar conceitos abstratos em sistemas operacionais verificáveis. Ao longo das últimas décadas, o desenvolvimento de normas, modelos e ferramentas serviu o propósito de padronizar práticas, mitigar a variabilidade intrínseca aos processos humanos e tecnológicos e, acima de tudo, estabelecer uma infraestrutura de confiança entre organizações, mercados e stakeholders.</w:t>
      </w:r>
    </w:p>
    <w:p w14:paraId="37D21FFF"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 xml:space="preserve">Nesta </w:t>
      </w:r>
      <w:proofErr w:type="spellStart"/>
      <w:r w:rsidRPr="00EC2394">
        <w:rPr>
          <w:rFonts w:ascii="Times New Roman" w:eastAsia="Times New Roman" w:hAnsi="Times New Roman" w:cs="Times New Roman"/>
          <w:color w:val="1F1F1F"/>
          <w:kern w:val="0"/>
          <w:bdr w:val="none" w:sz="0" w:space="0" w:color="auto" w:frame="1"/>
          <w:lang w:eastAsia="pt-BR"/>
          <w14:ligatures w14:val="none"/>
        </w:rPr>
        <w:t>perspetiva</w:t>
      </w:r>
      <w:proofErr w:type="spellEnd"/>
      <w:r w:rsidRPr="00EC2394">
        <w:rPr>
          <w:rFonts w:ascii="Times New Roman" w:eastAsia="Times New Roman" w:hAnsi="Times New Roman" w:cs="Times New Roman"/>
          <w:color w:val="1F1F1F"/>
          <w:kern w:val="0"/>
          <w:bdr w:val="none" w:sz="0" w:space="0" w:color="auto" w:frame="1"/>
          <w:lang w:eastAsia="pt-BR"/>
          <w14:ligatures w14:val="none"/>
        </w:rPr>
        <w:t>, os referenciais que aqui analisaremos não devem ser interpretados como meras formalidades documentais ou exigências burocráticas de certificação. Pelo contrário, configuram-se como instrumentos estratégicos que permitem traduzir a ontologia da qualidade em práxis administrativa. A análise que se segue explora a arquitetura normativa da ISO, a visão sistémica do Sucesso Sustentado e os modelos de excelência europeus, culminando na instrumentação estatística que fundamenta a tomada de decisão baseada em evidências.</w:t>
      </w:r>
    </w:p>
    <w:p w14:paraId="13223E0D" w14:textId="77777777" w:rsidR="00EC2394" w:rsidRPr="00EC2394" w:rsidRDefault="00EC2394" w:rsidP="00EC2394">
      <w:pPr>
        <w:spacing w:after="0" w:line="360" w:lineRule="auto"/>
        <w:jc w:val="both"/>
        <w:outlineLvl w:val="1"/>
        <w:rPr>
          <w:rFonts w:ascii="Times New Roman" w:eastAsia="Times New Roman" w:hAnsi="Times New Roman" w:cs="Times New Roman"/>
          <w:b/>
          <w:bCs/>
          <w:color w:val="1F1F1F"/>
          <w:kern w:val="0"/>
          <w:lang w:eastAsia="pt-BR"/>
          <w14:ligatures w14:val="none"/>
        </w:rPr>
      </w:pPr>
      <w:r w:rsidRPr="00EC2394">
        <w:rPr>
          <w:rFonts w:ascii="Times New Roman" w:eastAsia="Times New Roman" w:hAnsi="Times New Roman" w:cs="Times New Roman"/>
          <w:b/>
          <w:bCs/>
          <w:color w:val="1F1F1F"/>
          <w:kern w:val="0"/>
          <w:bdr w:val="none" w:sz="0" w:space="0" w:color="auto" w:frame="1"/>
          <w:lang w:eastAsia="pt-BR"/>
          <w14:ligatures w14:val="none"/>
        </w:rPr>
        <w:t>2. A Evolução do Pensamento Normativo: ISO 9001:2015</w:t>
      </w:r>
    </w:p>
    <w:p w14:paraId="23B325FB"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 xml:space="preserve">A norma ISO 9001:2015, sob a égide da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International</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Organization</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for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Standardization</w:t>
      </w:r>
      <w:proofErr w:type="spellEnd"/>
      <w:r w:rsidRPr="00EC2394">
        <w:rPr>
          <w:rFonts w:ascii="Times New Roman" w:eastAsia="Times New Roman" w:hAnsi="Times New Roman" w:cs="Times New Roman"/>
          <w:color w:val="1F1F1F"/>
          <w:kern w:val="0"/>
          <w:bdr w:val="none" w:sz="0" w:space="0" w:color="auto" w:frame="1"/>
          <w:lang w:eastAsia="pt-BR"/>
          <w14:ligatures w14:val="none"/>
        </w:rPr>
        <w:t>, mantém-se como o paradigma internacional mais influente para sistemas de gestão. Contudo, a sua relevância contemporânea advém da capacidade de mutação estrutural apresentada na última revisão. A introdução da "High-</w:t>
      </w:r>
      <w:proofErr w:type="spellStart"/>
      <w:r w:rsidRPr="00EC2394">
        <w:rPr>
          <w:rFonts w:ascii="Times New Roman" w:eastAsia="Times New Roman" w:hAnsi="Times New Roman" w:cs="Times New Roman"/>
          <w:color w:val="1F1F1F"/>
          <w:kern w:val="0"/>
          <w:bdr w:val="none" w:sz="0" w:space="0" w:color="auto" w:frame="1"/>
          <w:lang w:eastAsia="pt-BR"/>
          <w14:ligatures w14:val="none"/>
        </w:rPr>
        <w:t>Level</w:t>
      </w:r>
      <w:proofErr w:type="spellEnd"/>
      <w:r w:rsidRPr="00EC2394">
        <w:rPr>
          <w:rFonts w:ascii="Times New Roman" w:eastAsia="Times New Roman" w:hAnsi="Times New Roman" w:cs="Times New Roman"/>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color w:val="1F1F1F"/>
          <w:kern w:val="0"/>
          <w:bdr w:val="none" w:sz="0" w:space="0" w:color="auto" w:frame="1"/>
          <w:lang w:eastAsia="pt-BR"/>
          <w14:ligatures w14:val="none"/>
        </w:rPr>
        <w:t>Structure</w:t>
      </w:r>
      <w:proofErr w:type="spellEnd"/>
      <w:r w:rsidRPr="00EC2394">
        <w:rPr>
          <w:rFonts w:ascii="Times New Roman" w:eastAsia="Times New Roman" w:hAnsi="Times New Roman" w:cs="Times New Roman"/>
          <w:color w:val="1F1F1F"/>
          <w:kern w:val="0"/>
          <w:bdr w:val="none" w:sz="0" w:space="0" w:color="auto" w:frame="1"/>
          <w:lang w:eastAsia="pt-BR"/>
          <w14:ligatures w14:val="none"/>
        </w:rPr>
        <w:t>" (Anexo SL) não foi uma alteração meramente cosmética; representou uma convergência semântica e estrutural que facilita a integração de múltiplos sistemas de gestão, permitindo que a qualidade deixe de ser um silo funcional para se tornar o núcleo da governança corporativa.</w:t>
      </w:r>
    </w:p>
    <w:p w14:paraId="2AC4DCEF"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 xml:space="preserve">O elemento central desta versão é a transição da "ação preventiva" para o "pensamento baseado em risco". Esta evolução conceptual desloca o foco da reação </w:t>
      </w:r>
      <w:proofErr w:type="spellStart"/>
      <w:r w:rsidRPr="00EC2394">
        <w:rPr>
          <w:rFonts w:ascii="Times New Roman" w:eastAsia="Times New Roman" w:hAnsi="Times New Roman" w:cs="Times New Roman"/>
          <w:color w:val="1F1F1F"/>
          <w:kern w:val="0"/>
          <w:bdr w:val="none" w:sz="0" w:space="0" w:color="auto" w:frame="1"/>
          <w:lang w:eastAsia="pt-BR"/>
          <w14:ligatures w14:val="none"/>
        </w:rPr>
        <w:t>ex-post</w:t>
      </w:r>
      <w:proofErr w:type="spellEnd"/>
      <w:r w:rsidRPr="00EC2394">
        <w:rPr>
          <w:rFonts w:ascii="Times New Roman" w:eastAsia="Times New Roman" w:hAnsi="Times New Roman" w:cs="Times New Roman"/>
          <w:color w:val="1F1F1F"/>
          <w:kern w:val="0"/>
          <w:bdr w:val="none" w:sz="0" w:space="0" w:color="auto" w:frame="1"/>
          <w:lang w:eastAsia="pt-BR"/>
          <w14:ligatures w14:val="none"/>
        </w:rPr>
        <w:t xml:space="preserve"> para uma antecipação sistémica. Ao internalizar o risco e a oportunidade como premissas do planeamento, a norma obriga a organização a uma leitura hermenêutica do seu contexto </w:t>
      </w:r>
      <w:r w:rsidRPr="00EC2394">
        <w:rPr>
          <w:rFonts w:ascii="Times New Roman" w:eastAsia="Times New Roman" w:hAnsi="Times New Roman" w:cs="Times New Roman"/>
          <w:color w:val="1F1F1F"/>
          <w:kern w:val="0"/>
          <w:bdr w:val="none" w:sz="0" w:space="0" w:color="auto" w:frame="1"/>
          <w:lang w:eastAsia="pt-BR"/>
          <w14:ligatures w14:val="none"/>
        </w:rPr>
        <w:lastRenderedPageBreak/>
        <w:t>(cláusula 4) e das expectativas das partes interessadas. O risco, aqui, não é apenas a probabilidade de falha, mas o efeito da incerteza nos objetivos da qualidade. Esta abordagem alinha-se com as teorias da "Sociedade do Risco" de Ulrich Beck, onde a gestão moderna se define pela capacidade de navegar em ambientes complexos e incertos.</w:t>
      </w:r>
    </w:p>
    <w:p w14:paraId="5D5C92FE"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Adicionalmente, o reforço do papel da Liderança (cláusula 5) e a exigência de uma Direção Estratégica explícita eliminam a possibilidade de um Sistema de Gestão da Qualidade (SGQ) "paralelo" ao negócio. A qualidade deve estar integrada no "Core Business", exigindo que a gestão de topo demonstre compromisso não apenas com a conformidade, mas com a eficácia dos resultados pretendidos.</w:t>
      </w:r>
    </w:p>
    <w:p w14:paraId="437FEFC4" w14:textId="77777777" w:rsidR="00EC2394" w:rsidRPr="00EC2394" w:rsidRDefault="00EC2394" w:rsidP="00EC2394">
      <w:pPr>
        <w:spacing w:after="0" w:line="360" w:lineRule="auto"/>
        <w:jc w:val="both"/>
        <w:outlineLvl w:val="1"/>
        <w:rPr>
          <w:rFonts w:ascii="Times New Roman" w:eastAsia="Times New Roman" w:hAnsi="Times New Roman" w:cs="Times New Roman"/>
          <w:b/>
          <w:bCs/>
          <w:color w:val="1F1F1F"/>
          <w:kern w:val="0"/>
          <w:lang w:eastAsia="pt-BR"/>
          <w14:ligatures w14:val="none"/>
        </w:rPr>
      </w:pPr>
      <w:r w:rsidRPr="00EC2394">
        <w:rPr>
          <w:rFonts w:ascii="Times New Roman" w:eastAsia="Times New Roman" w:hAnsi="Times New Roman" w:cs="Times New Roman"/>
          <w:b/>
          <w:bCs/>
          <w:color w:val="1F1F1F"/>
          <w:kern w:val="0"/>
          <w:bdr w:val="none" w:sz="0" w:space="0" w:color="auto" w:frame="1"/>
          <w:lang w:eastAsia="pt-BR"/>
          <w14:ligatures w14:val="none"/>
        </w:rPr>
        <w:t>3. Os Pilares Axiológicos: Princípios de Gestão da Qualidade</w:t>
      </w:r>
    </w:p>
    <w:p w14:paraId="1E1E15B6"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 xml:space="preserve">A arquitetura normativa da ISO assenta numa base filosófica composta por sete princípios fundamentais que sintetizam décadas de evolução teórica, desde os contributos de Deming e </w:t>
      </w:r>
      <w:proofErr w:type="spellStart"/>
      <w:r w:rsidRPr="00EC2394">
        <w:rPr>
          <w:rFonts w:ascii="Times New Roman" w:eastAsia="Times New Roman" w:hAnsi="Times New Roman" w:cs="Times New Roman"/>
          <w:color w:val="1F1F1F"/>
          <w:kern w:val="0"/>
          <w:bdr w:val="none" w:sz="0" w:space="0" w:color="auto" w:frame="1"/>
          <w:lang w:eastAsia="pt-BR"/>
          <w14:ligatures w14:val="none"/>
        </w:rPr>
        <w:t>Juran</w:t>
      </w:r>
      <w:proofErr w:type="spellEnd"/>
      <w:r w:rsidRPr="00EC2394">
        <w:rPr>
          <w:rFonts w:ascii="Times New Roman" w:eastAsia="Times New Roman" w:hAnsi="Times New Roman" w:cs="Times New Roman"/>
          <w:color w:val="1F1F1F"/>
          <w:kern w:val="0"/>
          <w:bdr w:val="none" w:sz="0" w:space="0" w:color="auto" w:frame="1"/>
          <w:lang w:eastAsia="pt-BR"/>
          <w14:ligatures w14:val="none"/>
        </w:rPr>
        <w:t xml:space="preserve"> até às práticas de </w:t>
      </w:r>
      <w:r w:rsidRPr="00EC2394">
        <w:rPr>
          <w:rFonts w:ascii="Times New Roman" w:eastAsia="Times New Roman" w:hAnsi="Times New Roman" w:cs="Times New Roman"/>
          <w:i/>
          <w:iCs/>
          <w:color w:val="1F1F1F"/>
          <w:kern w:val="0"/>
          <w:bdr w:val="none" w:sz="0" w:space="0" w:color="auto" w:frame="1"/>
          <w:lang w:eastAsia="pt-BR"/>
          <w14:ligatures w14:val="none"/>
        </w:rPr>
        <w:t xml:space="preserve">Total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Quality</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Management</w:t>
      </w:r>
      <w:r w:rsidRPr="00EC2394">
        <w:rPr>
          <w:rFonts w:ascii="Times New Roman" w:eastAsia="Times New Roman" w:hAnsi="Times New Roman" w:cs="Times New Roman"/>
          <w:color w:val="1F1F1F"/>
          <w:kern w:val="0"/>
          <w:bdr w:val="none" w:sz="0" w:space="0" w:color="auto" w:frame="1"/>
          <w:lang w:eastAsia="pt-BR"/>
          <w14:ligatures w14:val="none"/>
        </w:rPr>
        <w:t xml:space="preserve"> (TQM).</w:t>
      </w:r>
    </w:p>
    <w:p w14:paraId="0333A2FD"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 xml:space="preserve">O </w:t>
      </w:r>
      <w:r w:rsidRPr="00EC2394">
        <w:rPr>
          <w:rFonts w:ascii="Times New Roman" w:eastAsia="Times New Roman" w:hAnsi="Times New Roman" w:cs="Times New Roman"/>
          <w:b/>
          <w:bCs/>
          <w:color w:val="1F1F1F"/>
          <w:kern w:val="0"/>
          <w:bdr w:val="none" w:sz="0" w:space="0" w:color="auto" w:frame="1"/>
          <w:lang w:eastAsia="pt-BR"/>
          <w14:ligatures w14:val="none"/>
        </w:rPr>
        <w:t>Foco no Cliente</w:t>
      </w:r>
      <w:r w:rsidRPr="00EC2394">
        <w:rPr>
          <w:rFonts w:ascii="Times New Roman" w:eastAsia="Times New Roman" w:hAnsi="Times New Roman" w:cs="Times New Roman"/>
          <w:color w:val="1F1F1F"/>
          <w:kern w:val="0"/>
          <w:bdr w:val="none" w:sz="0" w:space="0" w:color="auto" w:frame="1"/>
          <w:lang w:eastAsia="pt-BR"/>
          <w14:ligatures w14:val="none"/>
        </w:rPr>
        <w:t xml:space="preserve"> permanece o princípio soberano, reafirmando que a qualidade é uma variável dependente da </w:t>
      </w:r>
      <w:proofErr w:type="spellStart"/>
      <w:r w:rsidRPr="00EC2394">
        <w:rPr>
          <w:rFonts w:ascii="Times New Roman" w:eastAsia="Times New Roman" w:hAnsi="Times New Roman" w:cs="Times New Roman"/>
          <w:color w:val="1F1F1F"/>
          <w:kern w:val="0"/>
          <w:bdr w:val="none" w:sz="0" w:space="0" w:color="auto" w:frame="1"/>
          <w:lang w:eastAsia="pt-BR"/>
          <w14:ligatures w14:val="none"/>
        </w:rPr>
        <w:t>perceção</w:t>
      </w:r>
      <w:proofErr w:type="spellEnd"/>
      <w:r w:rsidRPr="00EC2394">
        <w:rPr>
          <w:rFonts w:ascii="Times New Roman" w:eastAsia="Times New Roman" w:hAnsi="Times New Roman" w:cs="Times New Roman"/>
          <w:color w:val="1F1F1F"/>
          <w:kern w:val="0"/>
          <w:bdr w:val="none" w:sz="0" w:space="0" w:color="auto" w:frame="1"/>
          <w:lang w:eastAsia="pt-BR"/>
          <w14:ligatures w14:val="none"/>
        </w:rPr>
        <w:t xml:space="preserve"> externa. Contudo, este foco é agora complementado pela </w:t>
      </w:r>
      <w:r w:rsidRPr="00EC2394">
        <w:rPr>
          <w:rFonts w:ascii="Times New Roman" w:eastAsia="Times New Roman" w:hAnsi="Times New Roman" w:cs="Times New Roman"/>
          <w:b/>
          <w:bCs/>
          <w:color w:val="1F1F1F"/>
          <w:kern w:val="0"/>
          <w:bdr w:val="none" w:sz="0" w:space="0" w:color="auto" w:frame="1"/>
          <w:lang w:eastAsia="pt-BR"/>
          <w14:ligatures w14:val="none"/>
        </w:rPr>
        <w:t>Gestão das Relações</w:t>
      </w:r>
      <w:r w:rsidRPr="00EC2394">
        <w:rPr>
          <w:rFonts w:ascii="Times New Roman" w:eastAsia="Times New Roman" w:hAnsi="Times New Roman" w:cs="Times New Roman"/>
          <w:color w:val="1F1F1F"/>
          <w:kern w:val="0"/>
          <w:bdr w:val="none" w:sz="0" w:space="0" w:color="auto" w:frame="1"/>
          <w:lang w:eastAsia="pt-BR"/>
          <w14:ligatures w14:val="none"/>
        </w:rPr>
        <w:t xml:space="preserve">, que expande a visão para além do cliente direto, abrangendo fornecedores e parceiros como partes de um ecossistema produtor de valor. A </w:t>
      </w:r>
      <w:r w:rsidRPr="00EC2394">
        <w:rPr>
          <w:rFonts w:ascii="Times New Roman" w:eastAsia="Times New Roman" w:hAnsi="Times New Roman" w:cs="Times New Roman"/>
          <w:b/>
          <w:bCs/>
          <w:color w:val="1F1F1F"/>
          <w:kern w:val="0"/>
          <w:bdr w:val="none" w:sz="0" w:space="0" w:color="auto" w:frame="1"/>
          <w:lang w:eastAsia="pt-BR"/>
          <w14:ligatures w14:val="none"/>
        </w:rPr>
        <w:t>Liderança</w:t>
      </w:r>
      <w:r w:rsidRPr="00EC2394">
        <w:rPr>
          <w:rFonts w:ascii="Times New Roman" w:eastAsia="Times New Roman" w:hAnsi="Times New Roman" w:cs="Times New Roman"/>
          <w:color w:val="1F1F1F"/>
          <w:kern w:val="0"/>
          <w:bdr w:val="none" w:sz="0" w:space="0" w:color="auto" w:frame="1"/>
          <w:lang w:eastAsia="pt-BR"/>
          <w14:ligatures w14:val="none"/>
        </w:rPr>
        <w:t xml:space="preserve"> e o </w:t>
      </w:r>
      <w:r w:rsidRPr="00EC2394">
        <w:rPr>
          <w:rFonts w:ascii="Times New Roman" w:eastAsia="Times New Roman" w:hAnsi="Times New Roman" w:cs="Times New Roman"/>
          <w:b/>
          <w:bCs/>
          <w:color w:val="1F1F1F"/>
          <w:kern w:val="0"/>
          <w:bdr w:val="none" w:sz="0" w:space="0" w:color="auto" w:frame="1"/>
          <w:lang w:eastAsia="pt-BR"/>
          <w14:ligatures w14:val="none"/>
        </w:rPr>
        <w:t>Envolvimento das Pessoas</w:t>
      </w:r>
      <w:r w:rsidRPr="00EC2394">
        <w:rPr>
          <w:rFonts w:ascii="Times New Roman" w:eastAsia="Times New Roman" w:hAnsi="Times New Roman" w:cs="Times New Roman"/>
          <w:color w:val="1F1F1F"/>
          <w:kern w:val="0"/>
          <w:bdr w:val="none" w:sz="0" w:space="0" w:color="auto" w:frame="1"/>
          <w:lang w:eastAsia="pt-BR"/>
          <w14:ligatures w14:val="none"/>
        </w:rPr>
        <w:t xml:space="preserve"> formam a dimensão humana do sistema; sem uma cultura de compromisso e </w:t>
      </w:r>
      <w:r w:rsidRPr="00EC2394">
        <w:rPr>
          <w:rFonts w:ascii="Times New Roman" w:eastAsia="Times New Roman" w:hAnsi="Times New Roman" w:cs="Times New Roman"/>
          <w:i/>
          <w:iCs/>
          <w:color w:val="1F1F1F"/>
          <w:kern w:val="0"/>
          <w:bdr w:val="none" w:sz="0" w:space="0" w:color="auto" w:frame="1"/>
          <w:lang w:eastAsia="pt-BR"/>
          <w14:ligatures w14:val="none"/>
        </w:rPr>
        <w:t>empowerment</w:t>
      </w:r>
      <w:r w:rsidRPr="00EC2394">
        <w:rPr>
          <w:rFonts w:ascii="Times New Roman" w:eastAsia="Times New Roman" w:hAnsi="Times New Roman" w:cs="Times New Roman"/>
          <w:color w:val="1F1F1F"/>
          <w:kern w:val="0"/>
          <w:bdr w:val="none" w:sz="0" w:space="0" w:color="auto" w:frame="1"/>
          <w:lang w:eastAsia="pt-BR"/>
          <w14:ligatures w14:val="none"/>
        </w:rPr>
        <w:t>, os sistemas formais tornam-se cascas vazias de significado.</w:t>
      </w:r>
    </w:p>
    <w:p w14:paraId="6F007C67"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 xml:space="preserve">A dimensão operacional é sustentada pela </w:t>
      </w:r>
      <w:r w:rsidRPr="00EC2394">
        <w:rPr>
          <w:rFonts w:ascii="Times New Roman" w:eastAsia="Times New Roman" w:hAnsi="Times New Roman" w:cs="Times New Roman"/>
          <w:b/>
          <w:bCs/>
          <w:color w:val="1F1F1F"/>
          <w:kern w:val="0"/>
          <w:bdr w:val="none" w:sz="0" w:space="0" w:color="auto" w:frame="1"/>
          <w:lang w:eastAsia="pt-BR"/>
          <w14:ligatures w14:val="none"/>
        </w:rPr>
        <w:t>Abordagem por Processos</w:t>
      </w:r>
      <w:r w:rsidRPr="00EC2394">
        <w:rPr>
          <w:rFonts w:ascii="Times New Roman" w:eastAsia="Times New Roman" w:hAnsi="Times New Roman" w:cs="Times New Roman"/>
          <w:color w:val="1F1F1F"/>
          <w:kern w:val="0"/>
          <w:bdr w:val="none" w:sz="0" w:space="0" w:color="auto" w:frame="1"/>
          <w:lang w:eastAsia="pt-BR"/>
          <w14:ligatures w14:val="none"/>
        </w:rPr>
        <w:t xml:space="preserve">, que permite uma visão holística e horizontal da organização, e pela </w:t>
      </w:r>
      <w:r w:rsidRPr="00EC2394">
        <w:rPr>
          <w:rFonts w:ascii="Times New Roman" w:eastAsia="Times New Roman" w:hAnsi="Times New Roman" w:cs="Times New Roman"/>
          <w:b/>
          <w:bCs/>
          <w:color w:val="1F1F1F"/>
          <w:kern w:val="0"/>
          <w:bdr w:val="none" w:sz="0" w:space="0" w:color="auto" w:frame="1"/>
          <w:lang w:eastAsia="pt-BR"/>
          <w14:ligatures w14:val="none"/>
        </w:rPr>
        <w:t>Melhoria</w:t>
      </w:r>
      <w:r w:rsidRPr="00EC2394">
        <w:rPr>
          <w:rFonts w:ascii="Times New Roman" w:eastAsia="Times New Roman" w:hAnsi="Times New Roman" w:cs="Times New Roman"/>
          <w:color w:val="1F1F1F"/>
          <w:kern w:val="0"/>
          <w:bdr w:val="none" w:sz="0" w:space="0" w:color="auto" w:frame="1"/>
          <w:lang w:eastAsia="pt-BR"/>
          <w14:ligatures w14:val="none"/>
        </w:rPr>
        <w:t>, que institucionaliza a lógica do ciclo PDCA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Plan</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-Do-</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Check</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Act</w:t>
      </w:r>
      <w:proofErr w:type="spellEnd"/>
      <w:r w:rsidRPr="00EC2394">
        <w:rPr>
          <w:rFonts w:ascii="Times New Roman" w:eastAsia="Times New Roman" w:hAnsi="Times New Roman" w:cs="Times New Roman"/>
          <w:color w:val="1F1F1F"/>
          <w:kern w:val="0"/>
          <w:bdr w:val="none" w:sz="0" w:space="0" w:color="auto" w:frame="1"/>
          <w:lang w:eastAsia="pt-BR"/>
          <w14:ligatures w14:val="none"/>
        </w:rPr>
        <w:t xml:space="preserve">). Finalmente, a </w:t>
      </w:r>
      <w:r w:rsidRPr="00EC2394">
        <w:rPr>
          <w:rFonts w:ascii="Times New Roman" w:eastAsia="Times New Roman" w:hAnsi="Times New Roman" w:cs="Times New Roman"/>
          <w:b/>
          <w:bCs/>
          <w:color w:val="1F1F1F"/>
          <w:kern w:val="0"/>
          <w:bdr w:val="none" w:sz="0" w:space="0" w:color="auto" w:frame="1"/>
          <w:lang w:eastAsia="pt-BR"/>
          <w14:ligatures w14:val="none"/>
        </w:rPr>
        <w:t>Tomada de Decisão Baseada em Evidências</w:t>
      </w:r>
      <w:r w:rsidRPr="00EC2394">
        <w:rPr>
          <w:rFonts w:ascii="Times New Roman" w:eastAsia="Times New Roman" w:hAnsi="Times New Roman" w:cs="Times New Roman"/>
          <w:color w:val="1F1F1F"/>
          <w:kern w:val="0"/>
          <w:bdr w:val="none" w:sz="0" w:space="0" w:color="auto" w:frame="1"/>
          <w:lang w:eastAsia="pt-BR"/>
          <w14:ligatures w14:val="none"/>
        </w:rPr>
        <w:t xml:space="preserve"> introduz a racionalidade analítica necessária para contrariar a subjetividade e a intuição desprovida de dados, ligando diretamente a estratégia organizacional à utilização das ferramentas de controlo estatístico.</w:t>
      </w:r>
    </w:p>
    <w:p w14:paraId="00B179FA" w14:textId="77777777" w:rsidR="00EC2394" w:rsidRPr="00EC2394" w:rsidRDefault="00EC2394" w:rsidP="00EC2394">
      <w:pPr>
        <w:spacing w:after="0" w:line="360" w:lineRule="auto"/>
        <w:jc w:val="both"/>
        <w:outlineLvl w:val="1"/>
        <w:rPr>
          <w:rFonts w:ascii="Times New Roman" w:eastAsia="Times New Roman" w:hAnsi="Times New Roman" w:cs="Times New Roman"/>
          <w:b/>
          <w:bCs/>
          <w:color w:val="1F1F1F"/>
          <w:kern w:val="0"/>
          <w:lang w:eastAsia="pt-BR"/>
          <w14:ligatures w14:val="none"/>
        </w:rPr>
      </w:pPr>
      <w:r w:rsidRPr="00EC2394">
        <w:rPr>
          <w:rFonts w:ascii="Times New Roman" w:eastAsia="Times New Roman" w:hAnsi="Times New Roman" w:cs="Times New Roman"/>
          <w:b/>
          <w:bCs/>
          <w:color w:val="1F1F1F"/>
          <w:kern w:val="0"/>
          <w:bdr w:val="none" w:sz="0" w:space="0" w:color="auto" w:frame="1"/>
          <w:lang w:eastAsia="pt-BR"/>
          <w14:ligatures w14:val="none"/>
        </w:rPr>
        <w:t>4. Para Além da Conformidade: ISO 9004 e o Sucesso Sustentado</w:t>
      </w:r>
    </w:p>
    <w:p w14:paraId="33A12E48"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Enquanto a ISO 9001 estabelece os requisitos mínimos para a eficácia, a ISO 9004:2018 (revisão da anterior de 2009) posiciona-se como um guia para a maturidade e para a excelência organizacional. A distinção entre ambas é profunda: a ISO 9001 foca no cliente e na conformidade; a ISO 9004 foca no sucesso sustentado e no equilíbrio das necessidades de todas as partes interessadas.</w:t>
      </w:r>
    </w:p>
    <w:p w14:paraId="49795E6B"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 xml:space="preserve">Este referencial introduz a ideia de autoavaliação como uma ferramenta de diagnóstico estratégico. Ao propor níveis de maturidade, a norma incentiva as organizações a olharem </w:t>
      </w:r>
      <w:r w:rsidRPr="00EC2394">
        <w:rPr>
          <w:rFonts w:ascii="Times New Roman" w:eastAsia="Times New Roman" w:hAnsi="Times New Roman" w:cs="Times New Roman"/>
          <w:color w:val="1F1F1F"/>
          <w:kern w:val="0"/>
          <w:bdr w:val="none" w:sz="0" w:space="0" w:color="auto" w:frame="1"/>
          <w:lang w:eastAsia="pt-BR"/>
          <w14:ligatures w14:val="none"/>
        </w:rPr>
        <w:lastRenderedPageBreak/>
        <w:t xml:space="preserve">para a inovação, para a gestão do conhecimento e para a aprendizagem organizacional como ativos críticos. É, em essência, uma ponte entre a certificação básica e os modelos de excelência mais exigentes. Em países de matriz liberal e elevada maturidade económica, como a Dinamarca ou a Suécia, a utilização da ISO 9004 como ferramenta de </w:t>
      </w:r>
      <w:r w:rsidRPr="00EC2394">
        <w:rPr>
          <w:rFonts w:ascii="Times New Roman" w:eastAsia="Times New Roman" w:hAnsi="Times New Roman" w:cs="Times New Roman"/>
          <w:i/>
          <w:iCs/>
          <w:color w:val="1F1F1F"/>
          <w:kern w:val="0"/>
          <w:bdr w:val="none" w:sz="0" w:space="0" w:color="auto" w:frame="1"/>
          <w:lang w:eastAsia="pt-BR"/>
          <w14:ligatures w14:val="none"/>
        </w:rPr>
        <w:t>benchmarking</w:t>
      </w:r>
      <w:r w:rsidRPr="00EC2394">
        <w:rPr>
          <w:rFonts w:ascii="Times New Roman" w:eastAsia="Times New Roman" w:hAnsi="Times New Roman" w:cs="Times New Roman"/>
          <w:color w:val="1F1F1F"/>
          <w:kern w:val="0"/>
          <w:bdr w:val="none" w:sz="0" w:space="0" w:color="auto" w:frame="1"/>
          <w:lang w:eastAsia="pt-BR"/>
          <w14:ligatures w14:val="none"/>
        </w:rPr>
        <w:t xml:space="preserve"> interno é uma prática comum que sustenta a sua competitividade global.</w:t>
      </w:r>
    </w:p>
    <w:p w14:paraId="5028012E" w14:textId="77777777" w:rsidR="00EC2394" w:rsidRPr="00EC2394" w:rsidRDefault="00EC2394" w:rsidP="00EC2394">
      <w:pPr>
        <w:spacing w:after="0" w:line="360" w:lineRule="auto"/>
        <w:jc w:val="both"/>
        <w:outlineLvl w:val="1"/>
        <w:rPr>
          <w:rFonts w:ascii="Times New Roman" w:eastAsia="Times New Roman" w:hAnsi="Times New Roman" w:cs="Times New Roman"/>
          <w:b/>
          <w:bCs/>
          <w:color w:val="1F1F1F"/>
          <w:kern w:val="0"/>
          <w:lang w:eastAsia="pt-BR"/>
          <w14:ligatures w14:val="none"/>
        </w:rPr>
      </w:pPr>
      <w:r w:rsidRPr="00EC2394">
        <w:rPr>
          <w:rFonts w:ascii="Times New Roman" w:eastAsia="Times New Roman" w:hAnsi="Times New Roman" w:cs="Times New Roman"/>
          <w:b/>
          <w:bCs/>
          <w:color w:val="1F1F1F"/>
          <w:kern w:val="0"/>
          <w:bdr w:val="none" w:sz="0" w:space="0" w:color="auto" w:frame="1"/>
          <w:lang w:eastAsia="pt-BR"/>
          <w14:ligatures w14:val="none"/>
        </w:rPr>
        <w:t>5. A Dialética entre SGQ e Qualidade Total (TQM)</w:t>
      </w:r>
    </w:p>
    <w:p w14:paraId="29C21CD3"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É imperativo distinguir o Sistema de Gestão da Qualidade (SGQ), enquanto estrutura formal e documentada, da filosofia da Qualidade Total (</w:t>
      </w:r>
      <w:r w:rsidRPr="00EC2394">
        <w:rPr>
          <w:rFonts w:ascii="Times New Roman" w:eastAsia="Times New Roman" w:hAnsi="Times New Roman" w:cs="Times New Roman"/>
          <w:i/>
          <w:iCs/>
          <w:color w:val="1F1F1F"/>
          <w:kern w:val="0"/>
          <w:bdr w:val="none" w:sz="0" w:space="0" w:color="auto" w:frame="1"/>
          <w:lang w:eastAsia="pt-BR"/>
          <w14:ligatures w14:val="none"/>
        </w:rPr>
        <w:t xml:space="preserve">Total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Quality</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Management</w:t>
      </w:r>
      <w:r w:rsidRPr="00EC2394">
        <w:rPr>
          <w:rFonts w:ascii="Times New Roman" w:eastAsia="Times New Roman" w:hAnsi="Times New Roman" w:cs="Times New Roman"/>
          <w:color w:val="1F1F1F"/>
          <w:kern w:val="0"/>
          <w:bdr w:val="none" w:sz="0" w:space="0" w:color="auto" w:frame="1"/>
          <w:lang w:eastAsia="pt-BR"/>
          <w14:ligatures w14:val="none"/>
        </w:rPr>
        <w:t xml:space="preserve"> – TQM). O SGQ fornece o esqueleto, o método e a evidência auditável. O TQM, influenciado decisivamente por Armand </w:t>
      </w:r>
      <w:proofErr w:type="spellStart"/>
      <w:r w:rsidRPr="00EC2394">
        <w:rPr>
          <w:rFonts w:ascii="Times New Roman" w:eastAsia="Times New Roman" w:hAnsi="Times New Roman" w:cs="Times New Roman"/>
          <w:color w:val="1F1F1F"/>
          <w:kern w:val="0"/>
          <w:bdr w:val="none" w:sz="0" w:space="0" w:color="auto" w:frame="1"/>
          <w:lang w:eastAsia="pt-BR"/>
          <w14:ligatures w14:val="none"/>
        </w:rPr>
        <w:t>Feigenbaum</w:t>
      </w:r>
      <w:proofErr w:type="spellEnd"/>
      <w:r w:rsidRPr="00EC2394">
        <w:rPr>
          <w:rFonts w:ascii="Times New Roman" w:eastAsia="Times New Roman" w:hAnsi="Times New Roman" w:cs="Times New Roman"/>
          <w:color w:val="1F1F1F"/>
          <w:kern w:val="0"/>
          <w:bdr w:val="none" w:sz="0" w:space="0" w:color="auto" w:frame="1"/>
          <w:lang w:eastAsia="pt-BR"/>
          <w14:ligatures w14:val="none"/>
        </w:rPr>
        <w:t>, representa a internalização cultural da qualidade.</w:t>
      </w:r>
    </w:p>
    <w:p w14:paraId="16D89FB3"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O TQM defende que a qualidade é uma responsabilidade ubíqua. Não reside no departamento da qualidade, mas em cada decisão tomada na organização. Enquanto um SGQ pode ser implementado por decreto administrativo, o TQM exige uma transformação antropológica na empresa. Implica a eliminação do desperdício, o foco sistémico e uma liderança que não apenas gere, mas inspira. A história da gestão mostra que as organizações mais bem-sucedidas são aquelas que utilizam o SGQ (como a ISO 9001) apenas como a fundação sobre a qual constroem o edifício do TQM.</w:t>
      </w:r>
    </w:p>
    <w:p w14:paraId="0F734FBA" w14:textId="77777777" w:rsidR="00EC2394" w:rsidRPr="00EC2394" w:rsidRDefault="00EC2394" w:rsidP="00EC2394">
      <w:pPr>
        <w:spacing w:after="0" w:line="360" w:lineRule="auto"/>
        <w:jc w:val="both"/>
        <w:outlineLvl w:val="1"/>
        <w:rPr>
          <w:rFonts w:ascii="Times New Roman" w:eastAsia="Times New Roman" w:hAnsi="Times New Roman" w:cs="Times New Roman"/>
          <w:b/>
          <w:bCs/>
          <w:color w:val="1F1F1F"/>
          <w:kern w:val="0"/>
          <w:lang w:eastAsia="pt-BR"/>
          <w14:ligatures w14:val="none"/>
        </w:rPr>
      </w:pPr>
      <w:r w:rsidRPr="00EC2394">
        <w:rPr>
          <w:rFonts w:ascii="Times New Roman" w:eastAsia="Times New Roman" w:hAnsi="Times New Roman" w:cs="Times New Roman"/>
          <w:b/>
          <w:bCs/>
          <w:color w:val="1F1F1F"/>
          <w:kern w:val="0"/>
          <w:bdr w:val="none" w:sz="0" w:space="0" w:color="auto" w:frame="1"/>
          <w:lang w:eastAsia="pt-BR"/>
          <w14:ligatures w14:val="none"/>
        </w:rPr>
        <w:t>6. O Modelo EFQM: O Referencial de Excelência Europeu</w:t>
      </w:r>
    </w:p>
    <w:p w14:paraId="55C640CD"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 xml:space="preserve">O Modelo da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European</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Foundation for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Quality</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Management</w:t>
      </w:r>
      <w:r w:rsidRPr="00EC2394">
        <w:rPr>
          <w:rFonts w:ascii="Times New Roman" w:eastAsia="Times New Roman" w:hAnsi="Times New Roman" w:cs="Times New Roman"/>
          <w:color w:val="1F1F1F"/>
          <w:kern w:val="0"/>
          <w:bdr w:val="none" w:sz="0" w:space="0" w:color="auto" w:frame="1"/>
          <w:lang w:eastAsia="pt-BR"/>
          <w14:ligatures w14:val="none"/>
        </w:rPr>
        <w:t xml:space="preserve"> (EFQM) constitui, possivelmente, o referencial de gestão mais ambicioso no espaço europeu. Diferenciando-se das normas ISO por não ser prescritivo no sentido de "requisitos", o EFQM oferece uma estrutura de avaliação baseada na excelência e no impacto social.</w:t>
      </w:r>
    </w:p>
    <w:p w14:paraId="31B0D516"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 xml:space="preserve">O modelo assenta numa lógica de causalidade: os "Meios" (Liderança, Estratégia, Pessoas, Parcerias, Processos) determinam os "Resultados" (Clientes, Pessoas, Sociedade, Desempenho). A sua filosofia central é a criação de valor sustentável. No contexto da nossa análise comparativa, observamos que organizações em economias de alta </w:t>
      </w:r>
      <w:r w:rsidRPr="00EC2394">
        <w:rPr>
          <w:rFonts w:ascii="Times New Roman" w:eastAsia="Times New Roman" w:hAnsi="Times New Roman" w:cs="Times New Roman"/>
          <w:i/>
          <w:iCs/>
          <w:color w:val="1F1F1F"/>
          <w:kern w:val="0"/>
          <w:bdr w:val="none" w:sz="0" w:space="0" w:color="auto" w:frame="1"/>
          <w:lang w:eastAsia="pt-BR"/>
          <w14:ligatures w14:val="none"/>
        </w:rPr>
        <w:t>performance</w:t>
      </w:r>
      <w:r w:rsidRPr="00EC2394">
        <w:rPr>
          <w:rFonts w:ascii="Times New Roman" w:eastAsia="Times New Roman" w:hAnsi="Times New Roman" w:cs="Times New Roman"/>
          <w:color w:val="1F1F1F"/>
          <w:kern w:val="0"/>
          <w:bdr w:val="none" w:sz="0" w:space="0" w:color="auto" w:frame="1"/>
          <w:lang w:eastAsia="pt-BR"/>
          <w14:ligatures w14:val="none"/>
        </w:rPr>
        <w:t xml:space="preserve"> utilizam o EFQM para medir a sua capacidade de adaptação e inovação. O modelo exige que a organização não apenas seja eficiente hoje, mas que tenha a agilidade necessária para o ser amanhã. É a transição da "Qualidade do Produto" para a "Qualidade da Organização".</w:t>
      </w:r>
    </w:p>
    <w:p w14:paraId="67EB73F2" w14:textId="77777777" w:rsidR="00EC2394" w:rsidRPr="00EC2394" w:rsidRDefault="00EC2394" w:rsidP="00EC2394">
      <w:pPr>
        <w:spacing w:after="0" w:line="360" w:lineRule="auto"/>
        <w:jc w:val="both"/>
        <w:outlineLvl w:val="1"/>
        <w:rPr>
          <w:rFonts w:ascii="Times New Roman" w:eastAsia="Times New Roman" w:hAnsi="Times New Roman" w:cs="Times New Roman"/>
          <w:b/>
          <w:bCs/>
          <w:color w:val="1F1F1F"/>
          <w:kern w:val="0"/>
          <w:lang w:eastAsia="pt-BR"/>
          <w14:ligatures w14:val="none"/>
        </w:rPr>
      </w:pPr>
      <w:r w:rsidRPr="00EC2394">
        <w:rPr>
          <w:rFonts w:ascii="Times New Roman" w:eastAsia="Times New Roman" w:hAnsi="Times New Roman" w:cs="Times New Roman"/>
          <w:b/>
          <w:bCs/>
          <w:color w:val="1F1F1F"/>
          <w:kern w:val="0"/>
          <w:bdr w:val="none" w:sz="0" w:space="0" w:color="auto" w:frame="1"/>
          <w:lang w:eastAsia="pt-BR"/>
          <w14:ligatures w14:val="none"/>
        </w:rPr>
        <w:t>7. A Instrumentação da Decisão: Ferramentas do Controlo de Qualidade</w:t>
      </w:r>
    </w:p>
    <w:p w14:paraId="4ECC0BA4"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 xml:space="preserve">A operacionalização de todos os modelos discutidos anteriormente converge, inevitavelmente, na utilização de ferramentas que permitam transformar dados brutos em </w:t>
      </w:r>
      <w:r w:rsidRPr="00EC2394">
        <w:rPr>
          <w:rFonts w:ascii="Times New Roman" w:eastAsia="Times New Roman" w:hAnsi="Times New Roman" w:cs="Times New Roman"/>
          <w:color w:val="1F1F1F"/>
          <w:kern w:val="0"/>
          <w:bdr w:val="none" w:sz="0" w:space="0" w:color="auto" w:frame="1"/>
          <w:lang w:eastAsia="pt-BR"/>
          <w14:ligatures w14:val="none"/>
        </w:rPr>
        <w:lastRenderedPageBreak/>
        <w:t>conhecimento acionável. As chamadas "sete ferramentas básicas", sistematizadas por Kaoru Ishikawa, constituem a base tecnológica do controlo de qualidade.</w:t>
      </w:r>
    </w:p>
    <w:p w14:paraId="04E76EAB"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 xml:space="preserve">O contributo pioneiro de Walter A. </w:t>
      </w:r>
      <w:proofErr w:type="spellStart"/>
      <w:r w:rsidRPr="00EC2394">
        <w:rPr>
          <w:rFonts w:ascii="Times New Roman" w:eastAsia="Times New Roman" w:hAnsi="Times New Roman" w:cs="Times New Roman"/>
          <w:color w:val="1F1F1F"/>
          <w:kern w:val="0"/>
          <w:bdr w:val="none" w:sz="0" w:space="0" w:color="auto" w:frame="1"/>
          <w:lang w:eastAsia="pt-BR"/>
          <w14:ligatures w14:val="none"/>
        </w:rPr>
        <w:t>Shewhart</w:t>
      </w:r>
      <w:proofErr w:type="spellEnd"/>
      <w:r w:rsidRPr="00EC2394">
        <w:rPr>
          <w:rFonts w:ascii="Times New Roman" w:eastAsia="Times New Roman" w:hAnsi="Times New Roman" w:cs="Times New Roman"/>
          <w:color w:val="1F1F1F"/>
          <w:kern w:val="0"/>
          <w:bdr w:val="none" w:sz="0" w:space="0" w:color="auto" w:frame="1"/>
          <w:lang w:eastAsia="pt-BR"/>
          <w14:ligatures w14:val="none"/>
        </w:rPr>
        <w:t xml:space="preserve"> com as </w:t>
      </w:r>
      <w:r w:rsidRPr="00EC2394">
        <w:rPr>
          <w:rFonts w:ascii="Times New Roman" w:eastAsia="Times New Roman" w:hAnsi="Times New Roman" w:cs="Times New Roman"/>
          <w:b/>
          <w:bCs/>
          <w:color w:val="1F1F1F"/>
          <w:kern w:val="0"/>
          <w:bdr w:val="none" w:sz="0" w:space="0" w:color="auto" w:frame="1"/>
          <w:lang w:eastAsia="pt-BR"/>
          <w14:ligatures w14:val="none"/>
        </w:rPr>
        <w:t>Cartas de Controlo</w:t>
      </w:r>
      <w:r w:rsidRPr="00EC2394">
        <w:rPr>
          <w:rFonts w:ascii="Times New Roman" w:eastAsia="Times New Roman" w:hAnsi="Times New Roman" w:cs="Times New Roman"/>
          <w:color w:val="1F1F1F"/>
          <w:kern w:val="0"/>
          <w:bdr w:val="none" w:sz="0" w:space="0" w:color="auto" w:frame="1"/>
          <w:lang w:eastAsia="pt-BR"/>
          <w14:ligatures w14:val="none"/>
        </w:rPr>
        <w:t xml:space="preserve"> permitiu à gestão distinguir, pela primeira vez, entre a variação comum (intrínseca ao sistema) e a variação especial (causada por fatores externos). Esta distinção é o cerne da gestão científica: agir sobre causas comuns sem mudar o sistema é fútil; ignorar causas especiais é perigoso.</w:t>
      </w:r>
    </w:p>
    <w:p w14:paraId="3D8D52AA"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 xml:space="preserve">Ferramentas como o </w:t>
      </w:r>
      <w:r w:rsidRPr="00EC2394">
        <w:rPr>
          <w:rFonts w:ascii="Times New Roman" w:eastAsia="Times New Roman" w:hAnsi="Times New Roman" w:cs="Times New Roman"/>
          <w:b/>
          <w:bCs/>
          <w:color w:val="1F1F1F"/>
          <w:kern w:val="0"/>
          <w:bdr w:val="none" w:sz="0" w:space="0" w:color="auto" w:frame="1"/>
          <w:lang w:eastAsia="pt-BR"/>
          <w14:ligatures w14:val="none"/>
        </w:rPr>
        <w:t>Diagrama de Causa-Efeito (Ishikawa)</w:t>
      </w:r>
      <w:r w:rsidRPr="00EC2394">
        <w:rPr>
          <w:rFonts w:ascii="Times New Roman" w:eastAsia="Times New Roman" w:hAnsi="Times New Roman" w:cs="Times New Roman"/>
          <w:color w:val="1F1F1F"/>
          <w:kern w:val="0"/>
          <w:bdr w:val="none" w:sz="0" w:space="0" w:color="auto" w:frame="1"/>
          <w:lang w:eastAsia="pt-BR"/>
          <w14:ligatures w14:val="none"/>
        </w:rPr>
        <w:t xml:space="preserve"> e o </w:t>
      </w:r>
      <w:r w:rsidRPr="00EC2394">
        <w:rPr>
          <w:rFonts w:ascii="Times New Roman" w:eastAsia="Times New Roman" w:hAnsi="Times New Roman" w:cs="Times New Roman"/>
          <w:b/>
          <w:bCs/>
          <w:color w:val="1F1F1F"/>
          <w:kern w:val="0"/>
          <w:bdr w:val="none" w:sz="0" w:space="0" w:color="auto" w:frame="1"/>
          <w:lang w:eastAsia="pt-BR"/>
          <w14:ligatures w14:val="none"/>
        </w:rPr>
        <w:t>Gráfico de Pareto</w:t>
      </w:r>
      <w:r w:rsidRPr="00EC2394">
        <w:rPr>
          <w:rFonts w:ascii="Times New Roman" w:eastAsia="Times New Roman" w:hAnsi="Times New Roman" w:cs="Times New Roman"/>
          <w:color w:val="1F1F1F"/>
          <w:kern w:val="0"/>
          <w:bdr w:val="none" w:sz="0" w:space="0" w:color="auto" w:frame="1"/>
          <w:lang w:eastAsia="pt-BR"/>
          <w14:ligatures w14:val="none"/>
        </w:rPr>
        <w:t xml:space="preserve"> institucionalizam a análise lógica e a priorização estratégica. O Diagrama de Pareto, baseado no princípio 80/20, é uma lição de economia de esforço: focar nos "poucos vitais" para obter os maiores ganhos. Os </w:t>
      </w:r>
      <w:r w:rsidRPr="00EC2394">
        <w:rPr>
          <w:rFonts w:ascii="Times New Roman" w:eastAsia="Times New Roman" w:hAnsi="Times New Roman" w:cs="Times New Roman"/>
          <w:b/>
          <w:bCs/>
          <w:color w:val="1F1F1F"/>
          <w:kern w:val="0"/>
          <w:bdr w:val="none" w:sz="0" w:space="0" w:color="auto" w:frame="1"/>
          <w:lang w:eastAsia="pt-BR"/>
          <w14:ligatures w14:val="none"/>
        </w:rPr>
        <w:t>Histogramas</w:t>
      </w:r>
      <w:r w:rsidRPr="00EC2394">
        <w:rPr>
          <w:rFonts w:ascii="Times New Roman" w:eastAsia="Times New Roman" w:hAnsi="Times New Roman" w:cs="Times New Roman"/>
          <w:color w:val="1F1F1F"/>
          <w:kern w:val="0"/>
          <w:bdr w:val="none" w:sz="0" w:space="0" w:color="auto" w:frame="1"/>
          <w:lang w:eastAsia="pt-BR"/>
          <w14:ligatures w14:val="none"/>
        </w:rPr>
        <w:t xml:space="preserve"> e os </w:t>
      </w:r>
      <w:r w:rsidRPr="00EC2394">
        <w:rPr>
          <w:rFonts w:ascii="Times New Roman" w:eastAsia="Times New Roman" w:hAnsi="Times New Roman" w:cs="Times New Roman"/>
          <w:b/>
          <w:bCs/>
          <w:color w:val="1F1F1F"/>
          <w:kern w:val="0"/>
          <w:bdr w:val="none" w:sz="0" w:space="0" w:color="auto" w:frame="1"/>
          <w:lang w:eastAsia="pt-BR"/>
          <w14:ligatures w14:val="none"/>
        </w:rPr>
        <w:t>Diagramas de Dispersão</w:t>
      </w:r>
      <w:r w:rsidRPr="00EC2394">
        <w:rPr>
          <w:rFonts w:ascii="Times New Roman" w:eastAsia="Times New Roman" w:hAnsi="Times New Roman" w:cs="Times New Roman"/>
          <w:color w:val="1F1F1F"/>
          <w:kern w:val="0"/>
          <w:bdr w:val="none" w:sz="0" w:space="0" w:color="auto" w:frame="1"/>
          <w:lang w:eastAsia="pt-BR"/>
          <w14:ligatures w14:val="none"/>
        </w:rPr>
        <w:t xml:space="preserve"> fornecem a base estatística para compreender a forma da distribuição dos dados e a correlação entre variáveis. Por fim, os </w:t>
      </w:r>
      <w:r w:rsidRPr="00EC2394">
        <w:rPr>
          <w:rFonts w:ascii="Times New Roman" w:eastAsia="Times New Roman" w:hAnsi="Times New Roman" w:cs="Times New Roman"/>
          <w:b/>
          <w:bCs/>
          <w:color w:val="1F1F1F"/>
          <w:kern w:val="0"/>
          <w:bdr w:val="none" w:sz="0" w:space="0" w:color="auto" w:frame="1"/>
          <w:lang w:eastAsia="pt-BR"/>
          <w14:ligatures w14:val="none"/>
        </w:rPr>
        <w:t>Fluxogramas</w:t>
      </w:r>
      <w:r w:rsidRPr="00EC2394">
        <w:rPr>
          <w:rFonts w:ascii="Times New Roman" w:eastAsia="Times New Roman" w:hAnsi="Times New Roman" w:cs="Times New Roman"/>
          <w:color w:val="1F1F1F"/>
          <w:kern w:val="0"/>
          <w:bdr w:val="none" w:sz="0" w:space="0" w:color="auto" w:frame="1"/>
          <w:lang w:eastAsia="pt-BR"/>
          <w14:ligatures w14:val="none"/>
        </w:rPr>
        <w:t xml:space="preserve"> e as </w:t>
      </w:r>
      <w:r w:rsidRPr="00EC2394">
        <w:rPr>
          <w:rFonts w:ascii="Times New Roman" w:eastAsia="Times New Roman" w:hAnsi="Times New Roman" w:cs="Times New Roman"/>
          <w:b/>
          <w:bCs/>
          <w:color w:val="1F1F1F"/>
          <w:kern w:val="0"/>
          <w:bdr w:val="none" w:sz="0" w:space="0" w:color="auto" w:frame="1"/>
          <w:lang w:eastAsia="pt-BR"/>
          <w14:ligatures w14:val="none"/>
        </w:rPr>
        <w:t>Folhas de Verificação</w:t>
      </w:r>
      <w:r w:rsidRPr="00EC2394">
        <w:rPr>
          <w:rFonts w:ascii="Times New Roman" w:eastAsia="Times New Roman" w:hAnsi="Times New Roman" w:cs="Times New Roman"/>
          <w:color w:val="1F1F1F"/>
          <w:kern w:val="0"/>
          <w:bdr w:val="none" w:sz="0" w:space="0" w:color="auto" w:frame="1"/>
          <w:lang w:eastAsia="pt-BR"/>
          <w14:ligatures w14:val="none"/>
        </w:rPr>
        <w:t xml:space="preserve"> asseguram a visibilidade dos processos e a integridade da recolha de dados.</w:t>
      </w:r>
    </w:p>
    <w:p w14:paraId="71A9149A"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Contudo, a eficácia destas ferramentas não reside na sua sofisticação matemática, mas na sua democratização. Ishikawa defendia que 95% dos problemas de uma empresa poderiam ser resolvidos com estas ferramentas se elas fossem dominadas por todos os colaboradores. Esta é a essência da qualidade: a união entre o rigor estatístico e o compromisso humano.</w:t>
      </w:r>
    </w:p>
    <w:p w14:paraId="7E8857C5" w14:textId="77777777" w:rsidR="00EC2394" w:rsidRPr="00EC2394" w:rsidRDefault="00EC2394" w:rsidP="00EC2394">
      <w:pPr>
        <w:spacing w:after="0" w:line="360" w:lineRule="auto"/>
        <w:jc w:val="both"/>
        <w:outlineLvl w:val="1"/>
        <w:rPr>
          <w:rFonts w:ascii="Times New Roman" w:eastAsia="Times New Roman" w:hAnsi="Times New Roman" w:cs="Times New Roman"/>
          <w:b/>
          <w:bCs/>
          <w:color w:val="1F1F1F"/>
          <w:kern w:val="0"/>
          <w:lang w:eastAsia="pt-BR"/>
          <w14:ligatures w14:val="none"/>
        </w:rPr>
      </w:pPr>
      <w:r w:rsidRPr="00EC2394">
        <w:rPr>
          <w:rFonts w:ascii="Times New Roman" w:eastAsia="Times New Roman" w:hAnsi="Times New Roman" w:cs="Times New Roman"/>
          <w:b/>
          <w:bCs/>
          <w:color w:val="1F1F1F"/>
          <w:kern w:val="0"/>
          <w:bdr w:val="none" w:sz="0" w:space="0" w:color="auto" w:frame="1"/>
          <w:lang w:eastAsia="pt-BR"/>
          <w14:ligatures w14:val="none"/>
        </w:rPr>
        <w:t>8. Considerações Finais: A Qualidade como Vantagem Estratégica</w:t>
      </w:r>
    </w:p>
    <w:p w14:paraId="4F9C1C46"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Em suma, o conjunto de normas, modelos e ferramentas que compõem o Tópico 2 desta disciplina não são elementos isolados. Formam um sistema coerente de gestão. A ISO 9001 providencia a confiança e a estrutura; a ISO 9004 aponta o caminho para o sucesso sustentado; o Modelo EFQM define o horizonte da excelência; e as ferramentas estatísticas fornecem os meios para lá chegar.</w:t>
      </w:r>
    </w:p>
    <w:p w14:paraId="32F57F13" w14:textId="77777777" w:rsidR="00EC2394" w:rsidRPr="00EC2394" w:rsidRDefault="00EC2394" w:rsidP="00EC2394">
      <w:p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color w:val="1F1F1F"/>
          <w:kern w:val="0"/>
          <w:bdr w:val="none" w:sz="0" w:space="0" w:color="auto" w:frame="1"/>
          <w:lang w:eastAsia="pt-BR"/>
          <w14:ligatures w14:val="none"/>
        </w:rPr>
        <w:t>Para o gestor contemporâneo, o desafio reside em não permitir que a ferramenta se torne o fim. A qualidade é, em última análise, uma escolha estratégica sobre como uma organização decide interagir com o seu futuro. Na comparação entre o modelo português e os modelos nórdicos, a diferença raramente reside nas normas adotadas — que são globais — mas no rigor da sua implementação e na profundidade da cultura de excelência que as sustenta.</w:t>
      </w:r>
    </w:p>
    <w:p w14:paraId="0F18C6FC" w14:textId="77777777" w:rsidR="00EC2394" w:rsidRPr="00EC2394" w:rsidRDefault="00EC2394" w:rsidP="00EC2394">
      <w:pPr>
        <w:spacing w:after="0" w:line="360" w:lineRule="auto"/>
        <w:jc w:val="both"/>
        <w:outlineLvl w:val="2"/>
        <w:rPr>
          <w:rFonts w:ascii="Times New Roman" w:eastAsia="Times New Roman" w:hAnsi="Times New Roman" w:cs="Times New Roman"/>
          <w:b/>
          <w:bCs/>
          <w:color w:val="1F1F1F"/>
          <w:kern w:val="0"/>
          <w:lang w:eastAsia="pt-BR"/>
          <w14:ligatures w14:val="none"/>
        </w:rPr>
      </w:pPr>
      <w:r w:rsidRPr="00EC2394">
        <w:rPr>
          <w:rFonts w:ascii="Times New Roman" w:eastAsia="Times New Roman" w:hAnsi="Times New Roman" w:cs="Times New Roman"/>
          <w:b/>
          <w:bCs/>
          <w:color w:val="1F1F1F"/>
          <w:kern w:val="0"/>
          <w:bdr w:val="none" w:sz="0" w:space="0" w:color="auto" w:frame="1"/>
          <w:lang w:eastAsia="pt-BR"/>
          <w14:ligatures w14:val="none"/>
        </w:rPr>
        <w:t>Referências Bibliográficas de Apoio</w:t>
      </w:r>
    </w:p>
    <w:p w14:paraId="4496652C" w14:textId="77777777" w:rsidR="00EC2394" w:rsidRPr="00EC2394" w:rsidRDefault="00EC2394" w:rsidP="00EC2394">
      <w:pPr>
        <w:numPr>
          <w:ilvl w:val="0"/>
          <w:numId w:val="8"/>
        </w:num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b/>
          <w:bCs/>
          <w:color w:val="1F1F1F"/>
          <w:kern w:val="0"/>
          <w:bdr w:val="none" w:sz="0" w:space="0" w:color="auto" w:frame="1"/>
          <w:lang w:eastAsia="pt-BR"/>
          <w14:ligatures w14:val="none"/>
        </w:rPr>
        <w:t>Deming, W. E. (1986).</w:t>
      </w:r>
      <w:r w:rsidRPr="00EC2394">
        <w:rPr>
          <w:rFonts w:ascii="Times New Roman" w:eastAsia="Times New Roman" w:hAnsi="Times New Roman" w:cs="Times New Roman"/>
          <w:color w:val="1F1F1F"/>
          <w:kern w:val="0"/>
          <w:bdr w:val="none" w:sz="0" w:space="0" w:color="auto" w:frame="1"/>
          <w:lang w:eastAsia="pt-BR"/>
          <w14:ligatures w14:val="none"/>
        </w:rPr>
        <w:t xml:space="preserve"> </w:t>
      </w:r>
      <w:r w:rsidRPr="00EC2394">
        <w:rPr>
          <w:rFonts w:ascii="Times New Roman" w:eastAsia="Times New Roman" w:hAnsi="Times New Roman" w:cs="Times New Roman"/>
          <w:i/>
          <w:iCs/>
          <w:color w:val="1F1F1F"/>
          <w:kern w:val="0"/>
          <w:bdr w:val="none" w:sz="0" w:space="0" w:color="auto" w:frame="1"/>
          <w:lang w:eastAsia="pt-BR"/>
          <w14:ligatures w14:val="none"/>
        </w:rPr>
        <w:t xml:space="preserve">Out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of</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the</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Crisis</w:t>
      </w:r>
      <w:r w:rsidRPr="00EC2394">
        <w:rPr>
          <w:rFonts w:ascii="Times New Roman" w:eastAsia="Times New Roman" w:hAnsi="Times New Roman" w:cs="Times New Roman"/>
          <w:color w:val="1F1F1F"/>
          <w:kern w:val="0"/>
          <w:bdr w:val="none" w:sz="0" w:space="0" w:color="auto" w:frame="1"/>
          <w:lang w:eastAsia="pt-BR"/>
          <w14:ligatures w14:val="none"/>
        </w:rPr>
        <w:t>. MIT Press.</w:t>
      </w:r>
    </w:p>
    <w:p w14:paraId="58B42897" w14:textId="77777777" w:rsidR="00EC2394" w:rsidRPr="00EC2394" w:rsidRDefault="00EC2394" w:rsidP="00EC2394">
      <w:pPr>
        <w:numPr>
          <w:ilvl w:val="0"/>
          <w:numId w:val="8"/>
        </w:num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b/>
          <w:bCs/>
          <w:color w:val="1F1F1F"/>
          <w:kern w:val="0"/>
          <w:bdr w:val="none" w:sz="0" w:space="0" w:color="auto" w:frame="1"/>
          <w:lang w:eastAsia="pt-BR"/>
          <w14:ligatures w14:val="none"/>
        </w:rPr>
        <w:t>EFQM (2020).</w:t>
      </w:r>
      <w:r w:rsidRPr="00EC2394">
        <w:rPr>
          <w:rFonts w:ascii="Times New Roman" w:eastAsia="Times New Roman" w:hAnsi="Times New Roman" w:cs="Times New Roman"/>
          <w:color w:val="1F1F1F"/>
          <w:kern w:val="0"/>
          <w:bdr w:val="none" w:sz="0" w:space="0" w:color="auto" w:frame="1"/>
          <w:lang w:eastAsia="pt-BR"/>
          <w14:ligatures w14:val="none"/>
        </w:rPr>
        <w:t xml:space="preserve"> </w:t>
      </w:r>
      <w:r w:rsidRPr="00EC2394">
        <w:rPr>
          <w:rFonts w:ascii="Times New Roman" w:eastAsia="Times New Roman" w:hAnsi="Times New Roman" w:cs="Times New Roman"/>
          <w:i/>
          <w:iCs/>
          <w:color w:val="1F1F1F"/>
          <w:kern w:val="0"/>
          <w:bdr w:val="none" w:sz="0" w:space="0" w:color="auto" w:frame="1"/>
          <w:lang w:eastAsia="pt-BR"/>
          <w14:ligatures w14:val="none"/>
        </w:rPr>
        <w:t xml:space="preserve">The EFQM Model: Business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Excellence</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Guide</w:t>
      </w:r>
      <w:proofErr w:type="spellEnd"/>
      <w:r w:rsidRPr="00EC2394">
        <w:rPr>
          <w:rFonts w:ascii="Times New Roman" w:eastAsia="Times New Roman" w:hAnsi="Times New Roman" w:cs="Times New Roman"/>
          <w:color w:val="1F1F1F"/>
          <w:kern w:val="0"/>
          <w:bdr w:val="none" w:sz="0" w:space="0" w:color="auto" w:frame="1"/>
          <w:lang w:eastAsia="pt-BR"/>
          <w14:ligatures w14:val="none"/>
        </w:rPr>
        <w:t>.</w:t>
      </w:r>
    </w:p>
    <w:p w14:paraId="1286205F" w14:textId="77777777" w:rsidR="00EC2394" w:rsidRPr="00EC2394" w:rsidRDefault="00EC2394" w:rsidP="00EC2394">
      <w:pPr>
        <w:numPr>
          <w:ilvl w:val="0"/>
          <w:numId w:val="8"/>
        </w:num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b/>
          <w:bCs/>
          <w:color w:val="1F1F1F"/>
          <w:kern w:val="0"/>
          <w:bdr w:val="none" w:sz="0" w:space="0" w:color="auto" w:frame="1"/>
          <w:lang w:eastAsia="pt-BR"/>
          <w14:ligatures w14:val="none"/>
        </w:rPr>
        <w:lastRenderedPageBreak/>
        <w:t>Ishikawa, K. (1985).</w:t>
      </w:r>
      <w:r w:rsidRPr="00EC2394">
        <w:rPr>
          <w:rFonts w:ascii="Times New Roman" w:eastAsia="Times New Roman" w:hAnsi="Times New Roman" w:cs="Times New Roman"/>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What</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is</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Total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Quality</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Control</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The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Japanese</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Way</w:t>
      </w:r>
      <w:r w:rsidRPr="00EC2394">
        <w:rPr>
          <w:rFonts w:ascii="Times New Roman" w:eastAsia="Times New Roman" w:hAnsi="Times New Roman" w:cs="Times New Roman"/>
          <w:color w:val="1F1F1F"/>
          <w:kern w:val="0"/>
          <w:bdr w:val="none" w:sz="0" w:space="0" w:color="auto" w:frame="1"/>
          <w:lang w:eastAsia="pt-BR"/>
          <w14:ligatures w14:val="none"/>
        </w:rPr>
        <w:t>. Prentice-Hall.</w:t>
      </w:r>
    </w:p>
    <w:p w14:paraId="3E948520" w14:textId="77777777" w:rsidR="00EC2394" w:rsidRPr="00EC2394" w:rsidRDefault="00EC2394" w:rsidP="00EC2394">
      <w:pPr>
        <w:numPr>
          <w:ilvl w:val="0"/>
          <w:numId w:val="8"/>
        </w:num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b/>
          <w:bCs/>
          <w:color w:val="1F1F1F"/>
          <w:kern w:val="0"/>
          <w:bdr w:val="none" w:sz="0" w:space="0" w:color="auto" w:frame="1"/>
          <w:lang w:eastAsia="pt-BR"/>
          <w14:ligatures w14:val="none"/>
        </w:rPr>
        <w:t>ISO (2015).</w:t>
      </w:r>
      <w:r w:rsidRPr="00EC2394">
        <w:rPr>
          <w:rFonts w:ascii="Times New Roman" w:eastAsia="Times New Roman" w:hAnsi="Times New Roman" w:cs="Times New Roman"/>
          <w:color w:val="1F1F1F"/>
          <w:kern w:val="0"/>
          <w:bdr w:val="none" w:sz="0" w:space="0" w:color="auto" w:frame="1"/>
          <w:lang w:eastAsia="pt-BR"/>
          <w14:ligatures w14:val="none"/>
        </w:rPr>
        <w:t xml:space="preserve"> </w:t>
      </w:r>
      <w:r w:rsidRPr="00EC2394">
        <w:rPr>
          <w:rFonts w:ascii="Times New Roman" w:eastAsia="Times New Roman" w:hAnsi="Times New Roman" w:cs="Times New Roman"/>
          <w:i/>
          <w:iCs/>
          <w:color w:val="1F1F1F"/>
          <w:kern w:val="0"/>
          <w:bdr w:val="none" w:sz="0" w:space="0" w:color="auto" w:frame="1"/>
          <w:lang w:eastAsia="pt-BR"/>
          <w14:ligatures w14:val="none"/>
        </w:rPr>
        <w:t xml:space="preserve">ISO 9001:2015 -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Quality</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Management Systems —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Requirements</w:t>
      </w:r>
      <w:proofErr w:type="spellEnd"/>
      <w:r w:rsidRPr="00EC2394">
        <w:rPr>
          <w:rFonts w:ascii="Times New Roman" w:eastAsia="Times New Roman" w:hAnsi="Times New Roman" w:cs="Times New Roman"/>
          <w:color w:val="1F1F1F"/>
          <w:kern w:val="0"/>
          <w:bdr w:val="none" w:sz="0" w:space="0" w:color="auto" w:frame="1"/>
          <w:lang w:eastAsia="pt-BR"/>
          <w14:ligatures w14:val="none"/>
        </w:rPr>
        <w:t>.</w:t>
      </w:r>
    </w:p>
    <w:p w14:paraId="62C3E155" w14:textId="77777777" w:rsidR="00EC2394" w:rsidRPr="00EC2394" w:rsidRDefault="00EC2394" w:rsidP="00EC2394">
      <w:pPr>
        <w:numPr>
          <w:ilvl w:val="0"/>
          <w:numId w:val="8"/>
        </w:num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b/>
          <w:bCs/>
          <w:color w:val="1F1F1F"/>
          <w:kern w:val="0"/>
          <w:bdr w:val="none" w:sz="0" w:space="0" w:color="auto" w:frame="1"/>
          <w:lang w:eastAsia="pt-BR"/>
          <w14:ligatures w14:val="none"/>
        </w:rPr>
        <w:t>ISO (2018).</w:t>
      </w:r>
      <w:r w:rsidRPr="00EC2394">
        <w:rPr>
          <w:rFonts w:ascii="Times New Roman" w:eastAsia="Times New Roman" w:hAnsi="Times New Roman" w:cs="Times New Roman"/>
          <w:color w:val="1F1F1F"/>
          <w:kern w:val="0"/>
          <w:bdr w:val="none" w:sz="0" w:space="0" w:color="auto" w:frame="1"/>
          <w:lang w:eastAsia="pt-BR"/>
          <w14:ligatures w14:val="none"/>
        </w:rPr>
        <w:t xml:space="preserve"> </w:t>
      </w:r>
      <w:r w:rsidRPr="00EC2394">
        <w:rPr>
          <w:rFonts w:ascii="Times New Roman" w:eastAsia="Times New Roman" w:hAnsi="Times New Roman" w:cs="Times New Roman"/>
          <w:i/>
          <w:iCs/>
          <w:color w:val="1F1F1F"/>
          <w:kern w:val="0"/>
          <w:bdr w:val="none" w:sz="0" w:space="0" w:color="auto" w:frame="1"/>
          <w:lang w:eastAsia="pt-BR"/>
          <w14:ligatures w14:val="none"/>
        </w:rPr>
        <w:t xml:space="preserve">ISO 9004:2018 -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Quality</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Management —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Quality</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of</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an</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Organization</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Guidance</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to</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Achieve</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Sustained</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Success</w:t>
      </w:r>
      <w:proofErr w:type="spellEnd"/>
      <w:r w:rsidRPr="00EC2394">
        <w:rPr>
          <w:rFonts w:ascii="Times New Roman" w:eastAsia="Times New Roman" w:hAnsi="Times New Roman" w:cs="Times New Roman"/>
          <w:color w:val="1F1F1F"/>
          <w:kern w:val="0"/>
          <w:bdr w:val="none" w:sz="0" w:space="0" w:color="auto" w:frame="1"/>
          <w:lang w:eastAsia="pt-BR"/>
          <w14:ligatures w14:val="none"/>
        </w:rPr>
        <w:t>.</w:t>
      </w:r>
    </w:p>
    <w:p w14:paraId="0FA86960" w14:textId="77777777" w:rsidR="00EC2394" w:rsidRPr="00EC2394" w:rsidRDefault="00EC2394" w:rsidP="00EC2394">
      <w:pPr>
        <w:numPr>
          <w:ilvl w:val="0"/>
          <w:numId w:val="8"/>
        </w:numPr>
        <w:spacing w:after="0" w:line="360" w:lineRule="auto"/>
        <w:jc w:val="both"/>
        <w:rPr>
          <w:rFonts w:ascii="Times New Roman" w:eastAsia="Times New Roman" w:hAnsi="Times New Roman" w:cs="Times New Roman"/>
          <w:color w:val="1F1F1F"/>
          <w:kern w:val="0"/>
          <w:lang w:eastAsia="pt-BR"/>
          <w14:ligatures w14:val="none"/>
        </w:rPr>
      </w:pPr>
      <w:proofErr w:type="spellStart"/>
      <w:r w:rsidRPr="00EC2394">
        <w:rPr>
          <w:rFonts w:ascii="Times New Roman" w:eastAsia="Times New Roman" w:hAnsi="Times New Roman" w:cs="Times New Roman"/>
          <w:b/>
          <w:bCs/>
          <w:color w:val="1F1F1F"/>
          <w:kern w:val="0"/>
          <w:bdr w:val="none" w:sz="0" w:space="0" w:color="auto" w:frame="1"/>
          <w:lang w:eastAsia="pt-BR"/>
          <w14:ligatures w14:val="none"/>
        </w:rPr>
        <w:t>Juran</w:t>
      </w:r>
      <w:proofErr w:type="spellEnd"/>
      <w:r w:rsidRPr="00EC2394">
        <w:rPr>
          <w:rFonts w:ascii="Times New Roman" w:eastAsia="Times New Roman" w:hAnsi="Times New Roman" w:cs="Times New Roman"/>
          <w:b/>
          <w:bCs/>
          <w:color w:val="1F1F1F"/>
          <w:kern w:val="0"/>
          <w:bdr w:val="none" w:sz="0" w:space="0" w:color="auto" w:frame="1"/>
          <w:lang w:eastAsia="pt-BR"/>
          <w14:ligatures w14:val="none"/>
        </w:rPr>
        <w:t>, J. M. (1988).</w:t>
      </w:r>
      <w:r w:rsidRPr="00EC2394">
        <w:rPr>
          <w:rFonts w:ascii="Times New Roman" w:eastAsia="Times New Roman" w:hAnsi="Times New Roman" w:cs="Times New Roman"/>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Juran</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on</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Planning for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Quality</w:t>
      </w:r>
      <w:proofErr w:type="spellEnd"/>
      <w:r w:rsidRPr="00EC2394">
        <w:rPr>
          <w:rFonts w:ascii="Times New Roman" w:eastAsia="Times New Roman" w:hAnsi="Times New Roman" w:cs="Times New Roman"/>
          <w:color w:val="1F1F1F"/>
          <w:kern w:val="0"/>
          <w:bdr w:val="none" w:sz="0" w:space="0" w:color="auto" w:frame="1"/>
          <w:lang w:eastAsia="pt-BR"/>
          <w14:ligatures w14:val="none"/>
        </w:rPr>
        <w:t>. Free Press.</w:t>
      </w:r>
    </w:p>
    <w:p w14:paraId="4ADF4624" w14:textId="77777777" w:rsidR="00EC2394" w:rsidRPr="00EC2394" w:rsidRDefault="00EC2394" w:rsidP="00EC2394">
      <w:pPr>
        <w:numPr>
          <w:ilvl w:val="0"/>
          <w:numId w:val="8"/>
        </w:numPr>
        <w:spacing w:after="0" w:line="360" w:lineRule="auto"/>
        <w:jc w:val="both"/>
        <w:rPr>
          <w:rFonts w:ascii="Times New Roman" w:eastAsia="Times New Roman" w:hAnsi="Times New Roman" w:cs="Times New Roman"/>
          <w:color w:val="1F1F1F"/>
          <w:kern w:val="0"/>
          <w:lang w:eastAsia="pt-BR"/>
          <w14:ligatures w14:val="none"/>
        </w:rPr>
      </w:pPr>
      <w:r w:rsidRPr="00EC2394">
        <w:rPr>
          <w:rFonts w:ascii="Times New Roman" w:eastAsia="Times New Roman" w:hAnsi="Times New Roman" w:cs="Times New Roman"/>
          <w:b/>
          <w:bCs/>
          <w:color w:val="1F1F1F"/>
          <w:kern w:val="0"/>
          <w:bdr w:val="none" w:sz="0" w:space="0" w:color="auto" w:frame="1"/>
          <w:lang w:eastAsia="pt-BR"/>
          <w14:ligatures w14:val="none"/>
        </w:rPr>
        <w:t>Oakland, J. S. (2014).</w:t>
      </w:r>
      <w:r w:rsidRPr="00EC2394">
        <w:rPr>
          <w:rFonts w:ascii="Times New Roman" w:eastAsia="Times New Roman" w:hAnsi="Times New Roman" w:cs="Times New Roman"/>
          <w:color w:val="1F1F1F"/>
          <w:kern w:val="0"/>
          <w:bdr w:val="none" w:sz="0" w:space="0" w:color="auto" w:frame="1"/>
          <w:lang w:eastAsia="pt-BR"/>
          <w14:ligatures w14:val="none"/>
        </w:rPr>
        <w:t xml:space="preserve"> </w:t>
      </w:r>
      <w:r w:rsidRPr="00EC2394">
        <w:rPr>
          <w:rFonts w:ascii="Times New Roman" w:eastAsia="Times New Roman" w:hAnsi="Times New Roman" w:cs="Times New Roman"/>
          <w:i/>
          <w:iCs/>
          <w:color w:val="1F1F1F"/>
          <w:kern w:val="0"/>
          <w:bdr w:val="none" w:sz="0" w:space="0" w:color="auto" w:frame="1"/>
          <w:lang w:eastAsia="pt-BR"/>
          <w14:ligatures w14:val="none"/>
        </w:rPr>
        <w:t xml:space="preserve">Total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Quality</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Management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and</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Operational</w:t>
      </w:r>
      <w:proofErr w:type="spellEnd"/>
      <w:r w:rsidRPr="00EC2394">
        <w:rPr>
          <w:rFonts w:ascii="Times New Roman" w:eastAsia="Times New Roman" w:hAnsi="Times New Roman" w:cs="Times New Roman"/>
          <w:i/>
          <w:iCs/>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i/>
          <w:iCs/>
          <w:color w:val="1F1F1F"/>
          <w:kern w:val="0"/>
          <w:bdr w:val="none" w:sz="0" w:space="0" w:color="auto" w:frame="1"/>
          <w:lang w:eastAsia="pt-BR"/>
          <w14:ligatures w14:val="none"/>
        </w:rPr>
        <w:t>Excellence</w:t>
      </w:r>
      <w:proofErr w:type="spellEnd"/>
      <w:r w:rsidRPr="00EC2394">
        <w:rPr>
          <w:rFonts w:ascii="Times New Roman" w:eastAsia="Times New Roman" w:hAnsi="Times New Roman" w:cs="Times New Roman"/>
          <w:color w:val="1F1F1F"/>
          <w:kern w:val="0"/>
          <w:bdr w:val="none" w:sz="0" w:space="0" w:color="auto" w:frame="1"/>
          <w:lang w:eastAsia="pt-BR"/>
          <w14:ligatures w14:val="none"/>
        </w:rPr>
        <w:t xml:space="preserve">. </w:t>
      </w:r>
      <w:proofErr w:type="spellStart"/>
      <w:r w:rsidRPr="00EC2394">
        <w:rPr>
          <w:rFonts w:ascii="Times New Roman" w:eastAsia="Times New Roman" w:hAnsi="Times New Roman" w:cs="Times New Roman"/>
          <w:color w:val="1F1F1F"/>
          <w:kern w:val="0"/>
          <w:bdr w:val="none" w:sz="0" w:space="0" w:color="auto" w:frame="1"/>
          <w:lang w:eastAsia="pt-BR"/>
          <w14:ligatures w14:val="none"/>
        </w:rPr>
        <w:t>Routledge</w:t>
      </w:r>
      <w:proofErr w:type="spellEnd"/>
      <w:r w:rsidRPr="00EC2394">
        <w:rPr>
          <w:rFonts w:ascii="Times New Roman" w:eastAsia="Times New Roman" w:hAnsi="Times New Roman" w:cs="Times New Roman"/>
          <w:color w:val="1F1F1F"/>
          <w:kern w:val="0"/>
          <w:bdr w:val="none" w:sz="0" w:space="0" w:color="auto" w:frame="1"/>
          <w:lang w:eastAsia="pt-BR"/>
          <w14:ligatures w14:val="none"/>
        </w:rPr>
        <w:t>.</w:t>
      </w:r>
    </w:p>
    <w:p w14:paraId="252CD60B" w14:textId="77777777" w:rsidR="00192301" w:rsidRDefault="00192301"/>
    <w:sectPr w:rsidR="001923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30A"/>
    <w:multiLevelType w:val="multilevel"/>
    <w:tmpl w:val="8F66D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652A4"/>
    <w:multiLevelType w:val="multilevel"/>
    <w:tmpl w:val="668C8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D0590"/>
    <w:multiLevelType w:val="multilevel"/>
    <w:tmpl w:val="44E8C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35A34"/>
    <w:multiLevelType w:val="multilevel"/>
    <w:tmpl w:val="917C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512F9"/>
    <w:multiLevelType w:val="multilevel"/>
    <w:tmpl w:val="2194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4642D"/>
    <w:multiLevelType w:val="multilevel"/>
    <w:tmpl w:val="D400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503E8"/>
    <w:multiLevelType w:val="multilevel"/>
    <w:tmpl w:val="24AA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782AA8"/>
    <w:multiLevelType w:val="multilevel"/>
    <w:tmpl w:val="7984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278391">
    <w:abstractNumId w:val="5"/>
  </w:num>
  <w:num w:numId="2" w16cid:durableId="806316788">
    <w:abstractNumId w:val="1"/>
  </w:num>
  <w:num w:numId="3" w16cid:durableId="1080521628">
    <w:abstractNumId w:val="7"/>
  </w:num>
  <w:num w:numId="4" w16cid:durableId="1564679371">
    <w:abstractNumId w:val="0"/>
  </w:num>
  <w:num w:numId="5" w16cid:durableId="42948877">
    <w:abstractNumId w:val="4"/>
  </w:num>
  <w:num w:numId="6" w16cid:durableId="685643679">
    <w:abstractNumId w:val="2"/>
  </w:num>
  <w:num w:numId="7" w16cid:durableId="586885906">
    <w:abstractNumId w:val="6"/>
  </w:num>
  <w:num w:numId="8" w16cid:durableId="433210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01"/>
    <w:rsid w:val="00192301"/>
    <w:rsid w:val="00682080"/>
    <w:rsid w:val="00EC23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2254"/>
  <w15:chartTrackingRefBased/>
  <w15:docId w15:val="{CBCA19C1-DDC8-4D74-B0A8-B4C3625F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923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923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9230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9230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9230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923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923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923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9230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9230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9230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9230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9230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9230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9230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9230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9230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92301"/>
    <w:rPr>
      <w:rFonts w:eastAsiaTheme="majorEastAsia" w:cstheme="majorBidi"/>
      <w:color w:val="272727" w:themeColor="text1" w:themeTint="D8"/>
    </w:rPr>
  </w:style>
  <w:style w:type="paragraph" w:styleId="Ttulo">
    <w:name w:val="Title"/>
    <w:basedOn w:val="Normal"/>
    <w:next w:val="Normal"/>
    <w:link w:val="TtuloChar"/>
    <w:uiPriority w:val="10"/>
    <w:qFormat/>
    <w:rsid w:val="0019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923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9230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9230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92301"/>
    <w:pPr>
      <w:spacing w:before="160"/>
      <w:jc w:val="center"/>
    </w:pPr>
    <w:rPr>
      <w:i/>
      <w:iCs/>
      <w:color w:val="404040" w:themeColor="text1" w:themeTint="BF"/>
    </w:rPr>
  </w:style>
  <w:style w:type="character" w:customStyle="1" w:styleId="CitaoChar">
    <w:name w:val="Citação Char"/>
    <w:basedOn w:val="Fontepargpadro"/>
    <w:link w:val="Citao"/>
    <w:uiPriority w:val="29"/>
    <w:rsid w:val="00192301"/>
    <w:rPr>
      <w:i/>
      <w:iCs/>
      <w:color w:val="404040" w:themeColor="text1" w:themeTint="BF"/>
    </w:rPr>
  </w:style>
  <w:style w:type="paragraph" w:styleId="PargrafodaLista">
    <w:name w:val="List Paragraph"/>
    <w:basedOn w:val="Normal"/>
    <w:uiPriority w:val="34"/>
    <w:qFormat/>
    <w:rsid w:val="00192301"/>
    <w:pPr>
      <w:ind w:left="720"/>
      <w:contextualSpacing/>
    </w:pPr>
  </w:style>
  <w:style w:type="character" w:styleId="nfaseIntensa">
    <w:name w:val="Intense Emphasis"/>
    <w:basedOn w:val="Fontepargpadro"/>
    <w:uiPriority w:val="21"/>
    <w:qFormat/>
    <w:rsid w:val="00192301"/>
    <w:rPr>
      <w:i/>
      <w:iCs/>
      <w:color w:val="2F5496" w:themeColor="accent1" w:themeShade="BF"/>
    </w:rPr>
  </w:style>
  <w:style w:type="paragraph" w:styleId="CitaoIntensa">
    <w:name w:val="Intense Quote"/>
    <w:basedOn w:val="Normal"/>
    <w:next w:val="Normal"/>
    <w:link w:val="CitaoIntensaChar"/>
    <w:uiPriority w:val="30"/>
    <w:qFormat/>
    <w:rsid w:val="00192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92301"/>
    <w:rPr>
      <w:i/>
      <w:iCs/>
      <w:color w:val="2F5496" w:themeColor="accent1" w:themeShade="BF"/>
    </w:rPr>
  </w:style>
  <w:style w:type="character" w:styleId="RefernciaIntensa">
    <w:name w:val="Intense Reference"/>
    <w:basedOn w:val="Fontepargpadro"/>
    <w:uiPriority w:val="32"/>
    <w:qFormat/>
    <w:rsid w:val="001923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1634</Words>
  <Characters>8824</Characters>
  <Application>Microsoft Office Word</Application>
  <DocSecurity>0</DocSecurity>
  <Lines>73</Lines>
  <Paragraphs>20</Paragraphs>
  <ScaleCrop>false</ScaleCrop>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 antonio tavares costa</dc:creator>
  <cp:keywords/>
  <dc:description/>
  <cp:lastModifiedBy>robson antonio tavares costa</cp:lastModifiedBy>
  <cp:revision>2</cp:revision>
  <dcterms:created xsi:type="dcterms:W3CDTF">2026-02-22T20:31:00Z</dcterms:created>
  <dcterms:modified xsi:type="dcterms:W3CDTF">2026-02-22T20:34:00Z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d3846521-f4c5-4518-b190-fc9c3d5267cd</vt:lpwstr>
  </property>
</Properties>
</file>